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“Seventh Grade” page 250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Gary Soto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Use context clues to develop a definition of the boldfaced word. You may use the literature book to see the word in a bigger context, but do not use a dictionary to define the word.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1. Scowl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-”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He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rtl w:val="0"/>
        </w:rPr>
        <w:t xml:space="preserve">scowled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 and let his upper lip quiver. His teeth showed along with the ferocity of his soul.”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p. 251</w:t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2.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Ferocity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- -”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He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scowled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 and let his upper lip quiver. His teeth showed along with the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rtl w:val="0"/>
        </w:rPr>
        <w:t xml:space="preserve">ferocity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 of his soul.”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p. 251</w:t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3. Trudged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- “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As he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rtl w:val="0"/>
        </w:rPr>
        <w:t xml:space="preserve"> trudged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 to English, he practiced scowling.”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p. 252</w:t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4. Glimpse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- “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Victor scanned the horizon for a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rtl w:val="0"/>
        </w:rPr>
        <w:t xml:space="preserve">glimpse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 of Teresa.”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p. 253</w:t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5. Beamed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- “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Victor raised his hand, wanting to impress Teresa. The teacher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rtl w:val="0"/>
        </w:rPr>
        <w:t xml:space="preserve">beamed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 and said, ‘Tres bien. Parlez-vous francais?’”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p. 254</w:t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6. Sheepishly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-”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He looked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rtl w:val="0"/>
        </w:rPr>
        <w:t xml:space="preserve">sheepishly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 at the teacher, who was erasing the board, then widened his eyes in terror at Teresa who stood in front of him.”</w:t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